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 w:right="23"/>
        <w:jc w:val="center"/>
        <w:rPr>
          <w:rFonts w:ascii="Times New Roman" w:hAnsi="Times New Roman" w:cs="Tahoma"/>
          <w:i/>
          <w:i/>
          <w:iCs/>
          <w:sz w:val="20"/>
          <w:szCs w:val="20"/>
        </w:rPr>
      </w:pPr>
      <w:r>
        <w:rPr>
          <w:rStyle w:val="Domylnaczcionkaakapitu"/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ab/>
        <w:tab/>
        <w:tab/>
        <w:tab/>
        <w:tab/>
        <w:tab/>
        <w:tab/>
        <w:tab/>
      </w:r>
      <w:bookmarkStart w:id="0" w:name="_Hlk109039044"/>
      <w:r>
        <w:rPr>
          <w:rStyle w:val="Domylnaczcionkaakapitu"/>
          <w:rFonts w:cs="Times New Roman" w:ascii="Times New Roman" w:hAnsi="Times New Roman"/>
          <w:b w:val="false"/>
          <w:bCs w:val="false"/>
          <w:i/>
          <w:iCs/>
          <w:sz w:val="22"/>
          <w:szCs w:val="22"/>
        </w:rPr>
        <w:t xml:space="preserve">Załącznik nr 4 </w:t>
      </w:r>
      <w:bookmarkEnd w:id="0"/>
    </w:p>
    <w:p>
      <w:pPr>
        <w:pStyle w:val="Normal"/>
        <w:ind w:hanging="0" w:left="0" w:right="23"/>
        <w:jc w:val="right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  <w:t>…………………………………</w:t>
      </w:r>
      <w:r>
        <w:rPr>
          <w:rFonts w:cs="Tahoma" w:ascii="Times New Roman" w:hAnsi="Times New Roman"/>
          <w:sz w:val="24"/>
        </w:rPr>
        <w:t>.</w:t>
      </w:r>
    </w:p>
    <w:p>
      <w:pPr>
        <w:pStyle w:val="Normal"/>
        <w:ind w:firstLine="708" w:right="23"/>
        <w:jc w:val="right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  <w:t>(miejscowość, data)</w:t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  <w:t>…………………………………</w:t>
      </w:r>
      <w:r>
        <w:rPr>
          <w:rFonts w:cs="Tahoma" w:ascii="Times New Roman" w:hAnsi="Times New Roman"/>
          <w:sz w:val="24"/>
        </w:rPr>
        <w:t>..</w:t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  <w:t>…………………………………</w:t>
      </w:r>
      <w:r>
        <w:rPr>
          <w:rFonts w:cs="Tahoma" w:ascii="Times New Roman" w:hAnsi="Times New Roman"/>
          <w:sz w:val="24"/>
        </w:rPr>
        <w:t>.</w:t>
      </w:r>
    </w:p>
    <w:p>
      <w:pPr>
        <w:pStyle w:val="Normal"/>
        <w:spacing w:lineRule="auto" w:line="240"/>
        <w:ind w:hanging="0" w:right="0"/>
        <w:rPr>
          <w:rFonts w:ascii="Times New Roman" w:hAnsi="Times New Roman" w:cs="Tahoma"/>
          <w:sz w:val="20"/>
        </w:rPr>
      </w:pPr>
      <w:r>
        <w:rPr>
          <w:rFonts w:cs="Tahoma" w:ascii="Times New Roman" w:hAnsi="Times New Roman"/>
          <w:sz w:val="20"/>
        </w:rPr>
        <w:t xml:space="preserve">(dokładne oznaczenie podmiotu </w:t>
      </w:r>
    </w:p>
    <w:p>
      <w:pPr>
        <w:pStyle w:val="Normal"/>
        <w:spacing w:lineRule="auto" w:line="240"/>
        <w:ind w:hanging="0" w:right="0"/>
        <w:rPr>
          <w:rFonts w:ascii="Times New Roman" w:hAnsi="Times New Roman" w:cs="Tahoma"/>
          <w:sz w:val="20"/>
        </w:rPr>
      </w:pPr>
      <w:r>
        <w:rPr>
          <w:rFonts w:cs="Tahoma" w:ascii="Times New Roman" w:hAnsi="Times New Roman"/>
          <w:sz w:val="20"/>
        </w:rPr>
        <w:t xml:space="preserve">zwanego dalej Wykonawcą </w:t>
      </w:r>
    </w:p>
    <w:p>
      <w:pPr>
        <w:pStyle w:val="Normal"/>
        <w:spacing w:lineRule="auto" w:line="240"/>
        <w:ind w:hanging="0" w:right="0"/>
        <w:rPr>
          <w:rFonts w:ascii="Times New Roman" w:hAnsi="Times New Roman" w:cs="Tahoma"/>
          <w:sz w:val="20"/>
        </w:rPr>
      </w:pPr>
      <w:r>
        <w:rPr>
          <w:rFonts w:cs="Tahoma" w:ascii="Times New Roman" w:hAnsi="Times New Roman"/>
          <w:sz w:val="20"/>
        </w:rPr>
        <w:t xml:space="preserve">– </w:t>
      </w:r>
      <w:r>
        <w:rPr>
          <w:rFonts w:cs="Tahoma" w:ascii="Times New Roman" w:hAnsi="Times New Roman"/>
          <w:sz w:val="20"/>
        </w:rPr>
        <w:t xml:space="preserve">nazwa/firma, adres podmiotu, </w:t>
      </w:r>
    </w:p>
    <w:p>
      <w:pPr>
        <w:pStyle w:val="Normal"/>
        <w:spacing w:lineRule="auto" w:line="240"/>
        <w:ind w:hanging="0" w:right="0"/>
        <w:rPr>
          <w:rFonts w:ascii="Times New Roman" w:hAnsi="Times New Roman" w:cs="Tahoma"/>
          <w:sz w:val="20"/>
        </w:rPr>
      </w:pPr>
      <w:r>
        <w:rPr>
          <w:rFonts w:cs="Tahoma" w:ascii="Times New Roman" w:hAnsi="Times New Roman"/>
          <w:sz w:val="20"/>
        </w:rPr>
        <w:t xml:space="preserve">oznaczenie Sądu rejestrowego/ </w:t>
      </w:r>
    </w:p>
    <w:p>
      <w:pPr>
        <w:pStyle w:val="Normal"/>
        <w:spacing w:lineRule="auto" w:line="240"/>
        <w:ind w:hanging="0" w:right="0"/>
        <w:rPr>
          <w:rFonts w:ascii="Times New Roman" w:hAnsi="Times New Roman" w:cs="Tahoma"/>
          <w:sz w:val="20"/>
        </w:rPr>
      </w:pPr>
      <w:r>
        <w:rPr>
          <w:rFonts w:cs="Tahoma" w:ascii="Times New Roman" w:hAnsi="Times New Roman"/>
          <w:sz w:val="20"/>
        </w:rPr>
        <w:t xml:space="preserve">właściwej ewidencji, Nr KRS, NIP, </w:t>
      </w:r>
    </w:p>
    <w:p>
      <w:pPr>
        <w:pStyle w:val="Normal"/>
        <w:spacing w:lineRule="auto" w:line="240"/>
        <w:ind w:hanging="0" w:right="0"/>
        <w:rPr>
          <w:rFonts w:ascii="Times New Roman" w:hAnsi="Times New Roman" w:cs="Tahoma"/>
          <w:sz w:val="20"/>
        </w:rPr>
      </w:pPr>
      <w:r>
        <w:rPr>
          <w:rFonts w:cs="Tahoma" w:ascii="Times New Roman" w:hAnsi="Times New Roman"/>
          <w:sz w:val="20"/>
        </w:rPr>
        <w:t>Regon, kapitał zakładowy)</w:t>
      </w:r>
    </w:p>
    <w:p>
      <w:pPr>
        <w:pStyle w:val="Normal"/>
        <w:ind w:firstLine="708" w:right="23"/>
        <w:jc w:val="right"/>
        <w:rPr>
          <w:rFonts w:ascii="Times New Roman" w:hAnsi="Times New Roman" w:cs="Tahoma"/>
          <w:b/>
          <w:sz w:val="24"/>
        </w:rPr>
      </w:pPr>
      <w:r>
        <w:rPr>
          <w:rFonts w:cs="Tahoma" w:ascii="Times New Roman" w:hAnsi="Times New Roman"/>
          <w:b/>
          <w:sz w:val="24"/>
        </w:rPr>
        <w:t>Zakład Wodociągów i Kanalizacji</w:t>
      </w:r>
    </w:p>
    <w:p>
      <w:pPr>
        <w:pStyle w:val="Normal"/>
        <w:ind w:firstLine="708" w:left="3540" w:right="23"/>
        <w:jc w:val="center"/>
        <w:rPr>
          <w:rFonts w:ascii="Times New Roman" w:hAnsi="Times New Roman" w:cs="Tahoma"/>
          <w:b/>
          <w:sz w:val="24"/>
        </w:rPr>
      </w:pPr>
      <w:r>
        <w:rPr>
          <w:rFonts w:cs="Tahoma" w:ascii="Times New Roman" w:hAnsi="Times New Roman"/>
          <w:b/>
          <w:sz w:val="24"/>
        </w:rPr>
        <w:t>Sp. z o.o. w Łapach</w:t>
      </w:r>
    </w:p>
    <w:p>
      <w:pPr>
        <w:pStyle w:val="Normal"/>
        <w:ind w:firstLine="708" w:left="4956" w:right="23"/>
        <w:rPr>
          <w:rFonts w:ascii="Times New Roman" w:hAnsi="Times New Roman" w:cs="Tahoma"/>
          <w:b/>
          <w:sz w:val="24"/>
        </w:rPr>
      </w:pPr>
      <w:r>
        <w:rPr>
          <w:rFonts w:cs="Tahoma" w:ascii="Times New Roman" w:hAnsi="Times New Roman"/>
          <w:b/>
          <w:sz w:val="24"/>
        </w:rPr>
        <w:t>ul. Płonkowska 44</w:t>
      </w:r>
    </w:p>
    <w:p>
      <w:pPr>
        <w:pStyle w:val="Normal"/>
        <w:rPr>
          <w:rFonts w:ascii="Times New Roman" w:hAnsi="Times New Roman" w:cs="Tahoma"/>
          <w:b/>
          <w:sz w:val="24"/>
        </w:rPr>
      </w:pPr>
      <w:r>
        <w:rPr>
          <w:rFonts w:cs="Tahoma" w:ascii="Times New Roman" w:hAnsi="Times New Roman"/>
          <w:b/>
          <w:sz w:val="24"/>
        </w:rPr>
        <w:tab/>
        <w:tab/>
        <w:tab/>
        <w:tab/>
        <w:tab/>
        <w:tab/>
        <w:tab/>
        <w:tab/>
        <w:t xml:space="preserve">18 – 100 Łapy </w:t>
      </w:r>
    </w:p>
    <w:p>
      <w:pPr>
        <w:pStyle w:val="Normal"/>
        <w:jc w:val="center"/>
        <w:rPr>
          <w:rFonts w:ascii="Times New Roman" w:hAnsi="Times New Roman" w:cs="Tahoma"/>
          <w:b/>
          <w:i/>
          <w:i/>
          <w:iCs/>
          <w:sz w:val="24"/>
        </w:rPr>
      </w:pPr>
      <w:r>
        <w:rPr>
          <w:rFonts w:cs="Tahoma" w:ascii="Times New Roman" w:hAnsi="Times New Roman"/>
          <w:b/>
          <w:i/>
          <w:iCs/>
          <w:sz w:val="24"/>
        </w:rPr>
        <w:t>Oświadczenie</w:t>
      </w:r>
    </w:p>
    <w:p>
      <w:pPr>
        <w:pStyle w:val="Normal"/>
        <w:spacing w:lineRule="auto" w:line="240"/>
        <w:ind w:firstLine="708" w:right="0"/>
        <w:rPr>
          <w:rFonts w:ascii="Times New Roman" w:hAnsi="Times New Roman" w:cs="Tahoma"/>
        </w:rPr>
      </w:pPr>
      <w:r>
        <w:rPr>
          <w:rFonts w:cs="Tahoma" w:ascii="Times New Roman" w:hAnsi="Times New Roman"/>
        </w:rPr>
        <w:t>W związku z sytuacją, jaka zaistniała na skutek wojny pomiędzy Rosją a Ukrainą, oraz                   w związku z wejściem w życie z dniem 16 kwietnia 2022 r. ustawy z dnia 13 kwietnia 2022 r.                       o szczególnych rozwiązaniach w zakresie przeciwdziałania wspieraniu agresji na Ukrainę oraz służących ochronie bezpieczeństwa narodowego (t.j. Dz. U. z 2022 r., poz. 835 z późn. zm. ), Wykonawca potwierdza, że stosuje się do przepisów prawa wprowadzających sankcje</w:t>
      </w:r>
      <w:r>
        <w:rPr>
          <w:rFonts w:cs="Tahoma" w:ascii="Times New Roman" w:hAnsi="Times New Roman"/>
          <w:vertAlign w:val="superscript"/>
        </w:rPr>
        <w:t>1</w:t>
      </w:r>
      <w:r>
        <w:rPr>
          <w:rFonts w:cs="Tahoma" w:ascii="Times New Roman" w:hAnsi="Times New Roman"/>
        </w:rPr>
        <w:t xml:space="preserve">, w tym w szczególności nie współpracuje z podmiotami, czy też w zakresie, które są tymi sankcjami objęte.    </w:t>
      </w:r>
    </w:p>
    <w:p>
      <w:pPr>
        <w:pStyle w:val="Normal"/>
        <w:spacing w:lineRule="auto" w:line="240"/>
        <w:ind w:firstLine="708" w:right="0"/>
        <w:rPr>
          <w:rFonts w:ascii="Times New Roman" w:hAnsi="Times New Roman" w:cs="Tahoma"/>
        </w:rPr>
      </w:pPr>
      <w:r>
        <w:rPr>
          <w:rFonts w:cs="Tahoma" w:ascii="Times New Roman" w:hAnsi="Times New Roman"/>
        </w:rPr>
        <w:t>Wykonawca potwierdza w szczególności, że przedmiot kontraktów/zamówień realizowanych         z Zakładem Wodociągów i Kanalizacji Sp. z o.o. w Łapach jest zgodny z przepisami prawa wprowadzającymi sankcje</w:t>
      </w:r>
      <w:r>
        <w:rPr>
          <w:rFonts w:cs="Tahoma" w:ascii="Times New Roman" w:hAnsi="Times New Roman"/>
          <w:vertAlign w:val="superscript"/>
        </w:rPr>
        <w:t>1</w:t>
      </w:r>
      <w:r>
        <w:rPr>
          <w:rFonts w:cs="Tahoma" w:ascii="Times New Roman" w:hAnsi="Times New Roman"/>
        </w:rPr>
        <w:t>, nie jest objęty zakazami, o których mowa w wyżej wymienionych przepisach</w:t>
      </w:r>
      <w:r>
        <w:rPr>
          <w:rFonts w:cs="Tahoma" w:ascii="Times New Roman" w:hAnsi="Times New Roman"/>
          <w:vertAlign w:val="superscript"/>
        </w:rPr>
        <w:t>1</w:t>
      </w:r>
      <w:r>
        <w:rPr>
          <w:rFonts w:cs="Tahoma" w:ascii="Times New Roman" w:hAnsi="Times New Roman"/>
        </w:rPr>
        <w:t>.</w:t>
      </w:r>
    </w:p>
    <w:p>
      <w:pPr>
        <w:pStyle w:val="Normal"/>
        <w:spacing w:lineRule="auto" w:line="240"/>
        <w:ind w:hanging="0" w:right="0"/>
        <w:rPr>
          <w:rFonts w:ascii="Times New Roman" w:hAnsi="Times New Roman" w:cs="Tahoma"/>
        </w:rPr>
      </w:pPr>
      <w:r>
        <w:rPr>
          <w:rFonts w:cs="Tahoma" w:ascii="Times New Roman" w:hAnsi="Times New Roman"/>
        </w:rPr>
        <w:tab/>
        <w:t>Ponadto Wykonawca potwierdza w szczególności, że ani on sam, ani żaden Członek jego Zarządu</w:t>
      </w:r>
      <w:r>
        <w:rPr>
          <w:rFonts w:cs="Tahoma" w:ascii="Times New Roman" w:hAnsi="Times New Roman"/>
          <w:vertAlign w:val="superscript"/>
        </w:rPr>
        <w:t>2</w:t>
      </w:r>
      <w:r>
        <w:rPr>
          <w:rFonts w:cs="Tahoma" w:ascii="Times New Roman" w:hAnsi="Times New Roman"/>
        </w:rPr>
        <w:t>, ani też jego beneficjent rzeczywisty</w:t>
      </w:r>
      <w:r>
        <w:rPr>
          <w:rFonts w:cs="Tahoma" w:ascii="Times New Roman" w:hAnsi="Times New Roman"/>
          <w:vertAlign w:val="superscript"/>
        </w:rPr>
        <w:t>3</w:t>
      </w:r>
      <w:r>
        <w:rPr>
          <w:rFonts w:cs="Tahoma" w:ascii="Times New Roman" w:hAnsi="Times New Roman"/>
        </w:rPr>
        <w:t>, ani też jego jednostka dominująca</w:t>
      </w:r>
      <w:r>
        <w:rPr>
          <w:rFonts w:cs="Tahoma" w:ascii="Times New Roman" w:hAnsi="Times New Roman"/>
          <w:vertAlign w:val="superscript"/>
        </w:rPr>
        <w:t>4</w:t>
      </w:r>
      <w:r>
        <w:rPr>
          <w:rFonts w:cs="Tahoma" w:ascii="Times New Roman" w:hAnsi="Times New Roman"/>
        </w:rPr>
        <w:t xml:space="preserve"> - nie jest objęty sankcjami. </w:t>
      </w:r>
    </w:p>
    <w:p>
      <w:pPr>
        <w:pStyle w:val="Normal"/>
        <w:spacing w:lineRule="auto" w:line="240"/>
        <w:ind w:firstLine="708" w:right="0"/>
        <w:rPr>
          <w:rFonts w:ascii="Times New Roman" w:hAnsi="Times New Roman" w:cs="Tahoma"/>
        </w:rPr>
      </w:pPr>
      <w:r>
        <w:rPr>
          <w:rFonts w:cs="Tahoma" w:ascii="Times New Roman" w:hAnsi="Times New Roman"/>
        </w:rPr>
        <w:t>W sytuacji, gdy którakolwiek z informacji zawartych w niniejszym oświadczeniu stanie się nieaktualna, wówczas Wykonawca zobowiązuje się niezwłocznie powiadomić o tym Zakład Wodociągów i Kanalizacji  Sp. z o.o. w Łapach za pośrednictwem poczty na adres: Zakład Wodociągów i Kanalizacji Sp. z  o.o. w Łapach, nie później niż w ciągu 3 dni   od zaistnienia tej okoliczności.</w:t>
      </w:r>
    </w:p>
    <w:p>
      <w:pPr>
        <w:pStyle w:val="Normal"/>
        <w:spacing w:lineRule="auto" w:line="240"/>
        <w:ind w:hanging="0" w:right="0"/>
        <w:rPr>
          <w:rFonts w:ascii="Times New Roman" w:hAnsi="Times New Roman" w:cs="Tahoma"/>
        </w:rPr>
      </w:pPr>
      <w:r>
        <w:rPr>
          <w:rFonts w:cs="Tahoma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jc w:val="right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  <w:t>………………………………</w:t>
      </w:r>
      <w:r>
        <w:rPr>
          <w:rFonts w:cs="Tahoma" w:ascii="Times New Roman" w:hAnsi="Times New Roman"/>
          <w:sz w:val="24"/>
        </w:rPr>
        <w:t>.</w:t>
      </w:r>
    </w:p>
    <w:p>
      <w:pPr>
        <w:pStyle w:val="Normal"/>
        <w:jc w:val="right"/>
        <w:rPr>
          <w:rFonts w:ascii="Times New Roman" w:hAnsi="Times New Roman" w:cs="Tahoma"/>
          <w:sz w:val="20"/>
        </w:rPr>
      </w:pPr>
      <w:r>
        <w:rPr>
          <w:rFonts w:cs="Tahoma" w:ascii="Times New Roman" w:hAnsi="Times New Roman"/>
          <w:sz w:val="20"/>
        </w:rPr>
        <w:t xml:space="preserve">(podpisy osób uprawnionych </w:t>
      </w:r>
    </w:p>
    <w:p>
      <w:pPr>
        <w:pStyle w:val="Normal"/>
        <w:jc w:val="right"/>
        <w:rPr>
          <w:rFonts w:ascii="Times New Roman" w:hAnsi="Times New Roman" w:cs="Tahoma"/>
          <w:sz w:val="20"/>
        </w:rPr>
      </w:pPr>
      <w:r>
        <w:rPr>
          <w:rFonts w:cs="Tahoma" w:ascii="Times New Roman" w:hAnsi="Times New Roman"/>
          <w:sz w:val="20"/>
        </w:rPr>
        <w:t>do reprezentowania Wykonawcę)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57"/>
        <w:contextualSpacing/>
        <w:jc w:val="both"/>
        <w:rPr>
          <w:sz w:val="16"/>
        </w:rPr>
      </w:pPr>
      <w:r>
        <w:rPr>
          <w:rFonts w:cs="Tahoma" w:ascii="Times New Roman" w:hAnsi="Times New Roman"/>
          <w:sz w:val="16"/>
          <w:szCs w:val="16"/>
          <w:vertAlign w:val="superscript"/>
        </w:rPr>
        <w:t>1</w:t>
      </w:r>
      <w:r>
        <w:rPr>
          <w:rFonts w:cs="Tahoma" w:ascii="Times New Roman" w:hAnsi="Times New Roman"/>
          <w:sz w:val="16"/>
          <w:szCs w:val="16"/>
        </w:rPr>
        <w:t xml:space="preserve"> w szczególności: </w:t>
      </w:r>
    </w:p>
    <w:p>
      <w:pPr>
        <w:pStyle w:val="ListParagraph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sz w:val="16"/>
          <w:szCs w:val="16"/>
        </w:rPr>
      </w:pPr>
      <w:r>
        <w:rPr>
          <w:rFonts w:cs="Tahoma" w:ascii="Times New Roman" w:hAnsi="Times New Roman"/>
          <w:sz w:val="16"/>
          <w:szCs w:val="16"/>
        </w:rPr>
        <w:t>ustawy z dnia 13 kwietnia 2022 r. o szczególnych rozwiązaniach w zakresie przeciwdziałania wspieraniu agresji na Ukrainę oraz służących ochronie bezpieczeństwa narodowego (Dz. U. z 2022 r., poz. 835),</w:t>
      </w:r>
    </w:p>
    <w:p>
      <w:pPr>
        <w:pStyle w:val="ListParagraph"/>
        <w:widowControl/>
        <w:numPr>
          <w:ilvl w:val="0"/>
          <w:numId w:val="8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sz w:val="16"/>
          <w:szCs w:val="16"/>
        </w:rPr>
      </w:pPr>
      <w:r>
        <w:rPr>
          <w:rFonts w:cs="Tahoma" w:ascii="Times New Roman" w:hAnsi="Times New Roman"/>
          <w:sz w:val="16"/>
          <w:szCs w:val="16"/>
        </w:rPr>
        <w:t>rozporządzenia Rady (WE) nr 765/2006 z dnia 18 maja 2006 r. dotyczącego środków ograniczających w związku z sytuacją na Białorusi i udziałem Białorusi w agresji Rosji wobec Ukrainy (Dz. Urz. UE L 134 z 20.05.2006, str. 1, z późn. zm.),</w:t>
      </w:r>
    </w:p>
    <w:p>
      <w:pPr>
        <w:pStyle w:val="ListParagraph"/>
        <w:widowControl/>
        <w:numPr>
          <w:ilvl w:val="0"/>
          <w:numId w:val="9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sz w:val="16"/>
          <w:szCs w:val="16"/>
        </w:rPr>
      </w:pPr>
      <w:r>
        <w:rPr>
          <w:rFonts w:cs="Tahoma" w:ascii="Times New Roman" w:hAnsi="Times New Roman"/>
          <w:sz w:val="16"/>
          <w:szCs w:val="16"/>
        </w:rPr>
        <w:t>rozporządzenia Rady (UE) nr 269/2014 z dnia 17 marca 2014 r. w sprawie środków ograniczających w odniesieniu do działań podważających integralność terytorialną, suwerenność i niezależność Ukrainy lub im zagrażających (Dz. Urz. UE L 78  z 17.03.2014, str. 6, z późn. zm.),</w:t>
      </w:r>
    </w:p>
    <w:p>
      <w:pPr>
        <w:pStyle w:val="ListParagraph"/>
        <w:widowControl/>
        <w:numPr>
          <w:ilvl w:val="0"/>
          <w:numId w:val="10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sz w:val="16"/>
          <w:szCs w:val="16"/>
        </w:rPr>
      </w:pPr>
      <w:r>
        <w:rPr>
          <w:rFonts w:cs="Tahoma" w:ascii="Times New Roman" w:hAnsi="Times New Roman"/>
          <w:sz w:val="16"/>
          <w:szCs w:val="16"/>
        </w:rPr>
        <w:t>rozporządzenia Rady (UE) nr 833/2014 z dnia 31 lipca 2014 r. dotyczącego środków ograniczających w związku z działaniami Rosji destabilizującymi sytuację na Ukrainie (Dz. Urz. UE L 229 z 31.07.2014, str. 1 z późn. zm.),</w:t>
      </w:r>
    </w:p>
    <w:p>
      <w:pPr>
        <w:pStyle w:val="ListParagraph"/>
        <w:widowControl/>
        <w:numPr>
          <w:ilvl w:val="0"/>
          <w:numId w:val="11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sz w:val="16"/>
          <w:szCs w:val="16"/>
        </w:rPr>
      </w:pPr>
      <w:r>
        <w:rPr>
          <w:rFonts w:cs="Tahoma" w:ascii="Times New Roman" w:hAnsi="Times New Roman"/>
          <w:sz w:val="16"/>
          <w:szCs w:val="16"/>
        </w:rPr>
        <w:t>rozporządzenia Rady (UE) nr 2022/263 z dnia 23 lutego 2022 r. w sprawie środków ograniczających w odpowiedzi na uznanie niekontrolowanych przez rząd obszarów ukraińskich obwodów donieckiego                           i ługańskiego oraz nakazanie rozmieszczenia rosyjskich sił zbrojnych na tych obszarach (Dz. Urz. UE L 42I z 23.02.2022, str. 77, z późn. zm.)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57"/>
        <w:jc w:val="both"/>
        <w:rPr>
          <w:sz w:val="16"/>
          <w:szCs w:val="16"/>
        </w:rPr>
      </w:pPr>
      <w:r>
        <w:rPr>
          <w:rFonts w:cs="Tahoma" w:ascii="Times New Roman" w:hAnsi="Times New Roman"/>
          <w:sz w:val="16"/>
          <w:szCs w:val="16"/>
          <w:vertAlign w:val="superscript"/>
        </w:rPr>
        <w:t xml:space="preserve">2  </w:t>
      </w:r>
      <w:r>
        <w:rPr>
          <w:rFonts w:cs="Tahoma" w:ascii="Times New Roman" w:hAnsi="Times New Roman"/>
          <w:sz w:val="16"/>
          <w:szCs w:val="16"/>
        </w:rPr>
        <w:t>nie dotyczy podmiotów nie posiadających Zarządu</w:t>
      </w:r>
    </w:p>
    <w:p>
      <w:pPr>
        <w:pStyle w:val="Normal"/>
        <w:ind w:hanging="0" w:left="0" w:right="23"/>
        <w:rPr>
          <w:sz w:val="16"/>
          <w:szCs w:val="16"/>
        </w:rPr>
      </w:pPr>
      <w:r>
        <w:rPr>
          <w:rFonts w:cs="Tahoma" w:ascii="Times New Roman" w:hAnsi="Times New Roman"/>
          <w:sz w:val="16"/>
          <w:szCs w:val="16"/>
          <w:vertAlign w:val="superscript"/>
        </w:rPr>
        <w:t xml:space="preserve">3 </w:t>
      </w:r>
      <w:r>
        <w:rPr>
          <w:rFonts w:cs="Tahoma" w:ascii="Times New Roman" w:hAnsi="Times New Roman"/>
          <w:sz w:val="16"/>
          <w:szCs w:val="16"/>
        </w:rPr>
        <w:t>nie dotyczy podmiotów nie posiadających beneficjenta rzeczywistego w rozumieniu ustawy z dnia 1 marca 2018 r. o przeciwdziałaniu praniu pieniędzy oraz finansowaniu terroryzmu (Dz. U. z 2022 r., poz. 593 i 655)</w:t>
      </w:r>
    </w:p>
    <w:p>
      <w:pPr>
        <w:pStyle w:val="Normal"/>
        <w:ind w:hanging="0" w:left="0" w:right="23"/>
        <w:rPr/>
      </w:pPr>
      <w:r>
        <w:rPr>
          <w:rFonts w:cs="Tahoma" w:ascii="Times New Roman" w:hAnsi="Times New Roman"/>
          <w:sz w:val="16"/>
          <w:szCs w:val="16"/>
          <w:vertAlign w:val="superscript"/>
        </w:rPr>
        <w:t xml:space="preserve">4 </w:t>
      </w:r>
      <w:r>
        <w:rPr>
          <w:rFonts w:cs="Tahoma" w:ascii="Times New Roman" w:hAnsi="Times New Roman"/>
          <w:sz w:val="16"/>
          <w:szCs w:val="16"/>
        </w:rPr>
        <w:t xml:space="preserve"> nie dotyczy podmiotów nie posiadających jednostki dominującej w rozumieniu art. 3 ust. 1 pkt 37 ustawy z dnia 29 września 1994 r. o rachunkowości (Dz. U. z 2021 r., poz. 217, poz. 2105 i 2106)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5827"/>
    <w:pPr>
      <w:widowControl/>
      <w:suppressAutoHyphens w:val="true"/>
      <w:bidi w:val="0"/>
      <w:spacing w:lineRule="auto" w:line="276" w:before="0" w:after="0"/>
      <w:ind w:hanging="0" w:right="23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f5827"/>
    <w:pPr>
      <w:spacing w:before="0" w:after="0"/>
      <w:ind w:hanging="0" w:left="720" w:right="23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LibreOffice/25.2.6.2$Windows_X86_64 LibreOffice_project/729c5bfe710f5eb71ed3bbde9e06a6065e9c6c5d</Application>
  <AppVersion>15.0000</AppVersion>
  <Pages>1</Pages>
  <Words>536</Words>
  <Characters>3023</Characters>
  <CharactersWithSpaces>3636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2023-05-10T06:21:00Z</dcterms:created>
  <dc:creator>Marta Dąbrowska</dc:creator>
  <dc:description/>
  <dc:language>pl-PL</dc:language>
  <cp:lastModifiedBy/>
  <dcterms:modified xsi:type="dcterms:W3CDTF">2025-11-17T08:18:54Z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